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2"/>
    <w:p>
      <w:pPr>
        <w:pStyle w:val="Heading1"/>
      </w:pPr>
      <w:r>
        <w:t xml:space="preserve">Homiletics Analysis: Amos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2 continues and escalates the series of oracles against the nations begun in chapter 1. The chapter opens with two final oracles against pagan nations — Moab (vv. 1–3) and Judah (vv. 4–5) — before pivoting decisively to the oracle against Israel (vv. 6–16), which is the structural and theological climax of the entire oracle sequence. The Moab oracle condemns a crime of desecration against a foreign king, demonstrating that the LORD’s moral governance extends even over nations that have no covenant with Him. The Judah oracle condemns rejection of the LORD’s law and being led astray by lies — a specifically covenantal indictment. Then the Israel oracle explodes in scope and intensity: Israel is condemned for economic exploitation of the poor, sexual immorality, religious syncretism in the temple precincts, silencing of the prophets, and corrupting of the Nazirites — before the LORD rehearses all He has done for Israel (the Exodus, the wilderness, the conquest, the gifts of prophet and Nazirite) to make the indictment maximally inexcusable. The chapter closes with the announcement that flight, strength, speed, and warrior skill will all be useless on the day of divine judgment — no one will escape.</w:t>
      </w:r>
    </w:p>
    <w:p>
      <w:pPr>
        <w:pStyle w:val="BodyText"/>
      </w:pPr>
      <w:r>
        <w:rPr>
          <w:b/>
          <w:bCs/>
        </w:rPr>
        <w:t xml:space="preserve">This Text — Intent</w:t>
      </w:r>
    </w:p>
    <w:p>
      <w:pPr>
        <w:pStyle w:val="BodyText"/>
      </w:pPr>
      <w:r>
        <w:t xml:space="preserve">God is seeking to confront Israel with the full weight of its covenant betrayal and to dismantle every defense it might raise against impending judgment. The structure of the oracle sequence is not accidental — it is rhetorically designed to walk the Israelite hearer through condemnations of distant pagan nations (agreement), then a near nation (growing unease), then Judah (perhaps smugness from the northern kingdom), and finally Israel itself (the trap closes). The intent is not merely to announce punishment but to strip Israel of every excuse: the surrounding nations sinned without covenant privilege; Judah sinned by rejecting revealed law; Israel sinned despite having received the greatest redemptive acts of God in history. The severity of God’s response is proportionate to the depth of the privilege squandered. God intends Israel to feel the full moral weight of what it has done — not as despair but as the only path toward honest reckoning.</w:t>
      </w:r>
    </w:p>
    <w:p>
      <w:r>
        <w:pict>
          <v:rect style="width:0;height:1.5pt" o:hralign="center" o:hrstd="t" o:hr="t"/>
        </w:pict>
      </w:r>
    </w:p>
    <w:p>
      <w:pPr>
        <w:pStyle w:val="FirstParagraph"/>
      </w:pPr>
      <w:r>
        <w:rPr>
          <w:b/>
          <w:bCs/>
        </w:rPr>
        <w:t xml:space="preserve">Subject Sentence:</w:t>
      </w:r>
      <w:r>
        <w:t xml:space="preserve"> </w:t>
      </w:r>
      <w:r>
        <w:t xml:space="preserve">The LORD’s covenant judgment falls hardest on those with the greatest privilege.</w:t>
      </w:r>
    </w:p>
    <w:p>
      <w:r>
        <w:pict>
          <v:rect style="width:0;height:1.5pt" o:hralign="center" o:hrstd="t" o:hr="t"/>
        </w:pict>
      </w:r>
    </w:p>
    <w:p>
      <w:pPr>
        <w:pStyle w:val="FirstParagraph"/>
      </w:pPr>
      <w:r>
        <w:rPr>
          <w:b/>
          <w:bCs/>
        </w:rPr>
        <w:t xml:space="preserve">Primary Claim:</w:t>
      </w:r>
      <w:r>
        <w:t xml:space="preserve"> </w:t>
      </w:r>
      <w:r>
        <w:t xml:space="preserve">God is confronting Israel with the inexcusable nature of its covenant betrayal — demonstrating that greater redemptive privilege produces greater accountability, and that no strength, strategy, or status will provide escape when divine judgment arrives.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rhetorical trap structure (vv. 1–5 as setup for v. 6ff.)</w:t>
      </w:r>
      <w:r>
        <w:t xml:space="preserve">: Most traditions recognize that the preceding oracles against Amos 1’s nations function rhetorically to set up the Israel oracle. The Reformed reading insists this is not merely a literary device but a theological one: it establishes the LORD’s universal moral governance before zeroing in on Israel’s covenantal accountability. A Dispensational reading sometimes treats the nations oracles as historically fulfilled prophecies of limited scope, not organically connected to the Israel oracle. This underreads the structural argument. The oracle sequence is a unified rhetorical movement, and the Israel oracle only carries its full force when heard as the culmination of the entire sequence. The Reformed reading of the whole unit as a coordinated rhetorical and theological argument is to be preferred.</w:t>
      </w:r>
    </w:p>
    <w:p>
      <w:pPr>
        <w:pStyle w:val="BodyText"/>
      </w:pPr>
      <w:r>
        <w:rPr>
          <w:b/>
          <w:bCs/>
        </w:rPr>
        <w:t xml:space="preserve">The nature of Israel’s sins (vv. 6–8)</w:t>
      </w:r>
      <w:r>
        <w:t xml:space="preserve">: The indictment in verses 6–8 touches economic exploitation (</w:t>
      </w:r>
      <w:r>
        <w:t xml:space="preserve">“they sell the righteous for silver”</w:t>
      </w:r>
      <w:r>
        <w:t xml:space="preserve">), sexual immorality (</w:t>
      </w:r>
      <w:r>
        <w:t xml:space="preserve">“a man and his father go in to the same girl”</w:t>
      </w:r>
      <w:r>
        <w:t xml:space="preserve">), and religious syncretism (</w:t>
      </w:r>
      <w:r>
        <w:t xml:space="preserve">“they lay themselves down beside every altar on garments taken in pledge”</w:t>
      </w:r>
      <w:r>
        <w:t xml:space="preserve">). Some Wesleyan/Arminian readings emphasize these as primarily social justice failures, pressing the horizontal dimension (what Israel did to the poor) as the sermon’s governing concern. This captures something real — the passage explicitly condemns exploitation of the vulnerable — but it misses that Amos’s primary indictment is vertical: Israel has profaned the LORD’s name and corrupted His worship. The social sins are symptoms of the deeper covenantal rebellion. Application must not flatten the text into a social ethics platform while losing the theological ground from which social ethics flows.</w:t>
      </w:r>
    </w:p>
    <w:p>
      <w:pPr>
        <w:pStyle w:val="BodyText"/>
      </w:pPr>
      <w:r>
        <w:rPr>
          <w:b/>
          <w:bCs/>
        </w:rPr>
        <w:t xml:space="preserve">The divine rehearsal of redemptive history (vv. 9–11)</w:t>
      </w:r>
      <w:r>
        <w:t xml:space="preserve">: Verses 9–11 are remarkable — the LORD pauses the indictment to rehearse what He has done: destroying the Amorites, bringing Israel out of Egypt, leading them through the wilderness forty years, giving them the land, raising up prophets and Nazirites. Some readings treat this as a simple recitation of covenant history for historical context. The Reformed reading insists this is prosecutorial — it is the LORD entering His own covenant faithfulness into the record precisely to make Israel’s rebellion maximally without excuse. This is covenant lawsuit language (cf. Micah 6:1–5; Isaiah 1:2–3), and it functions not as comfort but as accusation. Preaching that reads this paragraph as reassurance has misread the rhetorical function entirely.</w:t>
      </w:r>
    </w:p>
    <w:p>
      <w:pPr>
        <w:pStyle w:val="BodyText"/>
      </w:pPr>
      <w:r>
        <w:rPr>
          <w:b/>
          <w:bCs/>
        </w:rPr>
        <w:t xml:space="preserve">Judgment as total and inescapable (vv. 14–16)</w:t>
      </w:r>
      <w:r>
        <w:t xml:space="preserve">: The closing announcement that the swift, the strong, the archer, the horseman, and the mighty will all fail to stand is sometimes preached as general eschatological warning. It is that, but more specifically it is the collapse of Israel’s military and political confidence — the very institutions in which the northern kingdom trusted. The text targets specific forms of false security, not just generic human weakness. The Reformed reading that grounds this in the covenant’s curse structure (Deuteronomy 28) is to be preferred over readings that treat it as merely prophetic hyperbole.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 structure directly underlies Amos 2:14–16; the judgment announced is the activation of what Israel agreed to at Sinai. The inescapability of judgment is not arbitrary but covenantally warranted.</w:t>
      </w:r>
    </w:p>
    <w:p>
      <w:pPr>
        <w:numPr>
          <w:ilvl w:val="0"/>
          <w:numId w:val="1001"/>
        </w:numPr>
      </w:pPr>
      <w:r>
        <w:rPr>
          <w:b/>
          <w:bCs/>
        </w:rPr>
        <w:t xml:space="preserve">Micah 6:1–8</w:t>
      </w:r>
      <w:r>
        <w:t xml:space="preserve"> </w:t>
      </w:r>
      <w:r>
        <w:t xml:space="preserve">— A parallel covenant lawsuit where the LORD rehearses His redemptive acts (as in Amos 2:9–11) to make Israel’s unfaithfulness inexcusable; confirms the prosecutorial function of divine history-recitation.</w:t>
      </w:r>
    </w:p>
    <w:p>
      <w:pPr>
        <w:numPr>
          <w:ilvl w:val="0"/>
          <w:numId w:val="1001"/>
        </w:numPr>
      </w:pPr>
      <w:r>
        <w:rPr>
          <w:b/>
          <w:bCs/>
        </w:rPr>
        <w:t xml:space="preserve">Romans 2:1–11</w:t>
      </w:r>
      <w:r>
        <w:t xml:space="preserve"> </w:t>
      </w:r>
      <w:r>
        <w:t xml:space="preserve">— Paul employs the same rhetorical trap structure as Amos: condemning the Gentile (Romans 1), then catching the Jewish moralist who agreed —</w:t>
      </w:r>
      <w:r>
        <w:t xml:space="preserve"> </w:t>
      </w:r>
      <w:r>
        <w:t xml:space="preserve">“you who judge practice the same things”</w:t>
      </w:r>
      <w:r>
        <w:t xml:space="preserve">; privilege increases rather than removes accountability;</w:t>
      </w:r>
      <w:r>
        <w:t xml:space="preserve"> </w:t>
      </w:r>
      <w:r>
        <w:t xml:space="preserve">“to whom much is given, much will be required.”</w:t>
      </w:r>
    </w:p>
    <w:p>
      <w:pPr>
        <w:numPr>
          <w:ilvl w:val="0"/>
          <w:numId w:val="1001"/>
        </w:numPr>
      </w:pPr>
      <w:r>
        <w:rPr>
          <w:b/>
          <w:bCs/>
        </w:rPr>
        <w:t xml:space="preserve">Luke 12:47–48</w:t>
      </w:r>
      <w:r>
        <w:t xml:space="preserve"> </w:t>
      </w:r>
      <w:r>
        <w:t xml:space="preserve">— Christ articulates the principle that Amos 2 embodies: the servant who knew his master’s will and did not act bears greater punishment; covenantal knowledge escalates covenantal responsibility.</w:t>
      </w:r>
    </w:p>
    <w:p>
      <w:pPr>
        <w:numPr>
          <w:ilvl w:val="0"/>
          <w:numId w:val="1001"/>
        </w:numPr>
      </w:pPr>
      <w:r>
        <w:rPr>
          <w:b/>
          <w:bCs/>
        </w:rPr>
        <w:t xml:space="preserve">Hebrews 2:1–4</w:t>
      </w:r>
      <w:r>
        <w:t xml:space="preserve"> </w:t>
      </w:r>
      <w:r>
        <w:t xml:space="preserve">—</w:t>
      </w:r>
      <w:r>
        <w:t xml:space="preserve"> </w:t>
      </w:r>
      <w:r>
        <w:t xml:space="preserve">“How shall we escape if we neglect so great a salvation?”</w:t>
      </w:r>
      <w:r>
        <w:t xml:space="preserve"> </w:t>
      </w:r>
      <w:r>
        <w:t xml:space="preserve">— the New Testament applies the same logic as Amos 2: if judgment under the old covenant was inescapable, how much more severe is rejection of the greater covenant revelation in Christ.</w:t>
      </w:r>
    </w:p>
    <w:p>
      <w:r>
        <w:pict>
          <v:rect style="width:0;height:1.5pt" o:hralign="center" o:hrstd="t" o:hr="t"/>
        </w:pict>
      </w:r>
    </w:p>
    <w:p>
      <w:pPr>
        <w:pStyle w:val="FirstParagraph"/>
      </w:pPr>
      <w:r>
        <w:rPr>
          <w:b/>
          <w:bCs/>
        </w:rPr>
        <w:t xml:space="preserve">Aim:</w:t>
      </w:r>
      <w:r>
        <w:t xml:space="preserve"> </w:t>
      </w:r>
      <w:r>
        <w:t xml:space="preserve">To compel readers who have received the most redemptive light to examine whether their lives reflect the weight of that privilege — and to surrender every false confidence before the God who holds the covenant accountable.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Oracle against Moab: condemned for burning the bones of the king of Edom to lime; judgment announced — fire on Moab, death of rulers</w:t>
            </w:r>
          </w:p>
        </w:tc>
        <w:tc>
          <w:tcPr/>
          <w:p>
            <w:pPr>
              <w:pStyle w:val="Compact"/>
            </w:pPr>
            <w:r>
              <w:t xml:space="preserve">Final pagan nation oracle; crosses a line of human dignity even toward an enemy; LORD’s moral governance is universal</w:t>
            </w:r>
          </w:p>
        </w:tc>
      </w:tr>
      <w:tr>
        <w:tc>
          <w:tcPr/>
          <w:p>
            <w:pPr>
              <w:pStyle w:val="Compact"/>
            </w:pPr>
            <w:r>
              <w:t xml:space="preserve">4–5</w:t>
            </w:r>
          </w:p>
        </w:tc>
        <w:tc>
          <w:tcPr/>
          <w:p>
            <w:pPr>
              <w:pStyle w:val="Compact"/>
            </w:pPr>
            <w:r>
              <w:t xml:space="preserve">Oracle against Judah: condemned for rejecting the law of the LORD, not keeping His statutes, being led astray by lies their fathers followed; fire on Jerusalem</w:t>
            </w:r>
          </w:p>
        </w:tc>
        <w:tc>
          <w:tcPr/>
          <w:p>
            <w:pPr>
              <w:pStyle w:val="Compact"/>
            </w:pPr>
            <w:r>
              <w:t xml:space="preserve">First covenant-people oracle; specifically legal/revelatory indictment;</w:t>
            </w:r>
            <w:r>
              <w:t xml:space="preserve"> </w:t>
            </w:r>
            <w:r>
              <w:t xml:space="preserve">“lies”</w:t>
            </w:r>
            <w:r>
              <w:t xml:space="preserve"> </w:t>
            </w:r>
            <w:r>
              <w:t xml:space="preserve">= false gods or syncretistic religion</w:t>
            </w:r>
          </w:p>
        </w:tc>
      </w:tr>
      <w:tr>
        <w:tc>
          <w:tcPr/>
          <w:p>
            <w:pPr>
              <w:pStyle w:val="Compact"/>
            </w:pPr>
            <w:r>
              <w:t xml:space="preserve">6</w:t>
            </w:r>
          </w:p>
        </w:tc>
        <w:tc>
          <w:tcPr/>
          <w:p>
            <w:pPr>
              <w:pStyle w:val="Compact"/>
            </w:pPr>
            <w:r>
              <w:t xml:space="preserve">Oracle against Israel begins: condemned for selling the righteous for silver and the needy for a pair of sandals</w:t>
            </w:r>
          </w:p>
        </w:tc>
        <w:tc>
          <w:tcPr/>
          <w:p>
            <w:pPr>
              <w:pStyle w:val="Compact"/>
            </w:pPr>
            <w:r>
              <w:t xml:space="preserve">The trap closes; rhetorical climax of the whole oracle sequence; economic exploitation of the poor</w:t>
            </w:r>
          </w:p>
        </w:tc>
      </w:tr>
      <w:tr>
        <w:tc>
          <w:tcPr/>
          <w:p>
            <w:pPr>
              <w:pStyle w:val="Compact"/>
            </w:pPr>
            <w:r>
              <w:t xml:space="preserve">7a</w:t>
            </w:r>
          </w:p>
        </w:tc>
        <w:tc>
          <w:tcPr/>
          <w:p>
            <w:pPr>
              <w:pStyle w:val="Compact"/>
            </w:pPr>
            <w:r>
              <w:t xml:space="preserve">They trample the head of the poor into the dust and push the afflicted out of the way</w:t>
            </w:r>
          </w:p>
        </w:tc>
        <w:tc>
          <w:tcPr/>
          <w:p>
            <w:pPr>
              <w:pStyle w:val="Compact"/>
            </w:pPr>
            <w:r>
              <w:t xml:space="preserve">Continued economic/social exploitation; language of contempt and humiliation</w:t>
            </w:r>
          </w:p>
        </w:tc>
      </w:tr>
      <w:tr>
        <w:tc>
          <w:tcPr/>
          <w:p>
            <w:pPr>
              <w:pStyle w:val="Compact"/>
            </w:pPr>
            <w:r>
              <w:t xml:space="preserve">7b</w:t>
            </w:r>
          </w:p>
        </w:tc>
        <w:tc>
          <w:tcPr/>
          <w:p>
            <w:pPr>
              <w:pStyle w:val="Compact"/>
            </w:pPr>
            <w:r>
              <w:t xml:space="preserve">A man and his father go in to the same girl, so that my holy name is profaned</w:t>
            </w:r>
          </w:p>
        </w:tc>
        <w:tc>
          <w:tcPr/>
          <w:p>
            <w:pPr>
              <w:pStyle w:val="Compact"/>
            </w:pPr>
            <w:r>
              <w:t xml:space="preserve">Sexual immorality — possibly cultic prostitution; the connection to divine holiness is explicit:</w:t>
            </w:r>
            <w:r>
              <w:t xml:space="preserve"> </w:t>
            </w:r>
            <w:r>
              <w:t xml:space="preserve">“my holy name is profaned”</w:t>
            </w:r>
          </w:p>
        </w:tc>
      </w:tr>
      <w:tr>
        <w:tc>
          <w:tcPr/>
          <w:p>
            <w:pPr>
              <w:pStyle w:val="Compact"/>
            </w:pPr>
            <w:r>
              <w:t xml:space="preserve">8</w:t>
            </w:r>
          </w:p>
        </w:tc>
        <w:tc>
          <w:tcPr/>
          <w:p>
            <w:pPr>
              <w:pStyle w:val="Compact"/>
            </w:pPr>
            <w:r>
              <w:t xml:space="preserve">They lay themselves down beside every altar on garments taken in pledge; they drink the wine of those who have been fined</w:t>
            </w:r>
          </w:p>
        </w:tc>
        <w:tc>
          <w:tcPr/>
          <w:p>
            <w:pPr>
              <w:pStyle w:val="Compact"/>
            </w:pPr>
            <w:r>
              <w:t xml:space="preserve">Religious syncretism in the sanctuary; exploited goods used in false worship; social sin and religious sin interwoven</w:t>
            </w:r>
          </w:p>
        </w:tc>
      </w:tr>
      <w:tr>
        <w:tc>
          <w:tcPr/>
          <w:p>
            <w:pPr>
              <w:pStyle w:val="Compact"/>
            </w:pPr>
            <w:r>
              <w:t xml:space="preserve">9</w:t>
            </w:r>
          </w:p>
        </w:tc>
        <w:tc>
          <w:tcPr/>
          <w:p>
            <w:pPr>
              <w:pStyle w:val="Compact"/>
            </w:pPr>
            <w:r>
              <w:t xml:space="preserve">The LORD destroyed the Amorite before them — tall as cedars, strong as oaks, destroyed from above and below</w:t>
            </w:r>
          </w:p>
        </w:tc>
        <w:tc>
          <w:tcPr/>
          <w:p>
            <w:pPr>
              <w:pStyle w:val="Compact"/>
            </w:pPr>
            <w:r>
              <w:t xml:space="preserve">Prosecutorial history rehearsal begins; the conquest was the LORD’s work, not Israel’s military achievement</w:t>
            </w:r>
          </w:p>
        </w:tc>
      </w:tr>
      <w:tr>
        <w:tc>
          <w:tcPr/>
          <w:p>
            <w:pPr>
              <w:pStyle w:val="Compact"/>
            </w:pPr>
            <w:r>
              <w:t xml:space="preserve">10</w:t>
            </w:r>
          </w:p>
        </w:tc>
        <w:tc>
          <w:tcPr/>
          <w:p>
            <w:pPr>
              <w:pStyle w:val="Compact"/>
            </w:pPr>
            <w:r>
              <w:t xml:space="preserve">The LORD brought Israel up from Egypt, led them through the wilderness forty years, to possess the land of the Amorite</w:t>
            </w:r>
          </w:p>
        </w:tc>
        <w:tc>
          <w:tcPr/>
          <w:p>
            <w:pPr>
              <w:pStyle w:val="Compact"/>
            </w:pPr>
            <w:r>
              <w:t xml:space="preserve">Exodus and wilderness — the foundational redemptive acts; each gift now functions as aggravation of guilt</w:t>
            </w:r>
          </w:p>
        </w:tc>
      </w:tr>
      <w:tr>
        <w:tc>
          <w:tcPr/>
          <w:p>
            <w:pPr>
              <w:pStyle w:val="Compact"/>
            </w:pPr>
            <w:r>
              <w:t xml:space="preserve">11</w:t>
            </w:r>
          </w:p>
        </w:tc>
        <w:tc>
          <w:tcPr/>
          <w:p>
            <w:pPr>
              <w:pStyle w:val="Compact"/>
            </w:pPr>
            <w:r>
              <w:t xml:space="preserve">The LORD raised up prophets from Israel’s sons and Nazirites from their young men:</w:t>
            </w:r>
            <w:r>
              <w:t xml:space="preserve"> </w:t>
            </w:r>
            <w:r>
              <w:t xml:space="preserve">“Is it not indeed so, O people of Israel?”</w:t>
            </w:r>
          </w:p>
        </w:tc>
        <w:tc>
          <w:tcPr/>
          <w:p>
            <w:pPr>
              <w:pStyle w:val="Compact"/>
            </w:pPr>
            <w:r>
              <w:t xml:space="preserve">God gave not just land and deliverance but ongoing revelatory and consecrated-life gifts; the rhetorical question demands acknowledgment</w:t>
            </w:r>
          </w:p>
        </w:tc>
      </w:tr>
      <w:tr>
        <w:tc>
          <w:tcPr/>
          <w:p>
            <w:pPr>
              <w:pStyle w:val="Compact"/>
            </w:pPr>
            <w:r>
              <w:t xml:space="preserve">12</w:t>
            </w:r>
          </w:p>
        </w:tc>
        <w:tc>
          <w:tcPr/>
          <w:p>
            <w:pPr>
              <w:pStyle w:val="Compact"/>
            </w:pPr>
            <w:r>
              <w:t xml:space="preserve">“But you made the Nazirites drink wine and commanded the prophets, saying,</w:t>
            </w:r>
            <w:r>
              <w:t xml:space="preserve"> </w:t>
            </w:r>
            <w:r>
              <w:t xml:space="preserve">‘You shall not prophesy’</w:t>
            </w:r>
            <w:r>
              <w:t xml:space="preserve">”</w:t>
            </w:r>
          </w:p>
        </w:tc>
        <w:tc>
          <w:tcPr/>
          <w:p>
            <w:pPr>
              <w:pStyle w:val="Compact"/>
            </w:pPr>
            <w:r>
              <w:t xml:space="preserve">Israel’s response to God’s gifts: suppression; corrupting the consecrated, silencing the prophetic word</w:t>
            </w:r>
          </w:p>
        </w:tc>
      </w:tr>
      <w:tr>
        <w:tc>
          <w:tcPr/>
          <w:p>
            <w:pPr>
              <w:pStyle w:val="Compact"/>
            </w:pPr>
            <w:r>
              <w:t xml:space="preserve">13</w:t>
            </w:r>
          </w:p>
        </w:tc>
        <w:tc>
          <w:tcPr/>
          <w:p>
            <w:pPr>
              <w:pStyle w:val="Compact"/>
            </w:pPr>
            <w:r>
              <w:t xml:space="preserve">“Behold, I will press you down in your place, as a cart full of sheaves presses down”</w:t>
            </w:r>
          </w:p>
        </w:tc>
        <w:tc>
          <w:tcPr/>
          <w:p>
            <w:pPr>
              <w:pStyle w:val="Compact"/>
            </w:pPr>
            <w:r>
              <w:t xml:space="preserve">Divine judgment announced; the weight of sin now becomes the weight of judgment</w:t>
            </w:r>
          </w:p>
        </w:tc>
      </w:tr>
      <w:tr>
        <w:tc>
          <w:tcPr/>
          <w:p>
            <w:pPr>
              <w:pStyle w:val="Compact"/>
            </w:pPr>
            <w:r>
              <w:t xml:space="preserve">14–16</w:t>
            </w:r>
          </w:p>
        </w:tc>
        <w:tc>
          <w:tcPr/>
          <w:p>
            <w:pPr>
              <w:pStyle w:val="Compact"/>
            </w:pPr>
            <w:r>
              <w:t xml:space="preserve">No one will flee, the swift will not escape, the strong will not retain strength, the mighty will not save himself, the archer will not stand, the swift of foot will not escape, the horseman will not save his life, the stout of heart among the mighty will flee naked</w:t>
            </w:r>
          </w:p>
        </w:tc>
        <w:tc>
          <w:tcPr/>
          <w:p>
            <w:pPr>
              <w:pStyle w:val="Compact"/>
            </w:pPr>
            <w:r>
              <w:t xml:space="preserve">Sevenfold litany of military failure; every category of human strength enumerated and cancelled;</w:t>
            </w:r>
            <w:r>
              <w:t xml:space="preserve"> </w:t>
            </w:r>
            <w:r>
              <w:t xml:space="preserve">“declares the LORD”</w:t>
            </w:r>
            <w:r>
              <w:t xml:space="preserve"> </w:t>
            </w:r>
            <w:r>
              <w:t xml:space="preserve">closes the oracle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Final Pagan Oracle: Moab’s Desecration and Its Consequence</w:t>
            </w:r>
          </w:p>
        </w:tc>
      </w:tr>
      <w:tr>
        <w:tc>
          <w:tcPr/>
          <w:p>
            <w:pPr>
              <w:pStyle w:val="Compact"/>
            </w:pPr>
            <w:r>
              <w:t xml:space="preserve">2</w:t>
            </w:r>
          </w:p>
        </w:tc>
        <w:tc>
          <w:tcPr/>
          <w:p>
            <w:pPr>
              <w:pStyle w:val="Compact"/>
            </w:pPr>
            <w:r>
              <w:t xml:space="preserve">4–5</w:t>
            </w:r>
          </w:p>
        </w:tc>
        <w:tc>
          <w:tcPr/>
          <w:p>
            <w:pPr>
              <w:pStyle w:val="Compact"/>
            </w:pPr>
            <w:r>
              <w:t xml:space="preserve">The Covenant People Begin: Judah’s Rejection of the Law</w:t>
            </w:r>
          </w:p>
        </w:tc>
      </w:tr>
      <w:tr>
        <w:tc>
          <w:tcPr/>
          <w:p>
            <w:pPr>
              <w:pStyle w:val="Compact"/>
            </w:pPr>
            <w:r>
              <w:t xml:space="preserve">3</w:t>
            </w:r>
          </w:p>
        </w:tc>
        <w:tc>
          <w:tcPr/>
          <w:p>
            <w:pPr>
              <w:pStyle w:val="Compact"/>
            </w:pPr>
            <w:r>
              <w:t xml:space="preserve">6–8</w:t>
            </w:r>
          </w:p>
        </w:tc>
        <w:tc>
          <w:tcPr/>
          <w:p>
            <w:pPr>
              <w:pStyle w:val="Compact"/>
            </w:pPr>
            <w:r>
              <w:t xml:space="preserve">The Climactic Oracle: Israel’s Threefold Covenant Betrayal</w:t>
            </w:r>
          </w:p>
        </w:tc>
      </w:tr>
      <w:tr>
        <w:tc>
          <w:tcPr/>
          <w:p>
            <w:pPr>
              <w:pStyle w:val="Compact"/>
            </w:pPr>
            <w:r>
              <w:t xml:space="preserve">4</w:t>
            </w:r>
          </w:p>
        </w:tc>
        <w:tc>
          <w:tcPr/>
          <w:p>
            <w:pPr>
              <w:pStyle w:val="Compact"/>
            </w:pPr>
            <w:r>
              <w:t xml:space="preserve">9–11</w:t>
            </w:r>
          </w:p>
        </w:tc>
        <w:tc>
          <w:tcPr/>
          <w:p>
            <w:pPr>
              <w:pStyle w:val="Compact"/>
            </w:pPr>
            <w:r>
              <w:t xml:space="preserve">The Prosecutorial Record: What the LORD Has Done</w:t>
            </w:r>
          </w:p>
        </w:tc>
      </w:tr>
      <w:tr>
        <w:tc>
          <w:tcPr/>
          <w:p>
            <w:pPr>
              <w:pStyle w:val="Compact"/>
            </w:pPr>
            <w:r>
              <w:t xml:space="preserve">5</w:t>
            </w:r>
          </w:p>
        </w:tc>
        <w:tc>
          <w:tcPr/>
          <w:p>
            <w:pPr>
              <w:pStyle w:val="Compact"/>
            </w:pPr>
            <w:r>
              <w:t xml:space="preserve">12</w:t>
            </w:r>
          </w:p>
        </w:tc>
        <w:tc>
          <w:tcPr/>
          <w:p>
            <w:pPr>
              <w:pStyle w:val="Compact"/>
            </w:pPr>
            <w:r>
              <w:t xml:space="preserve">The Indictment Sharpened: Israel’s Silencing of God’s Gifts</w:t>
            </w:r>
          </w:p>
        </w:tc>
      </w:tr>
      <w:tr>
        <w:tc>
          <w:tcPr/>
          <w:p>
            <w:pPr>
              <w:pStyle w:val="Compact"/>
            </w:pPr>
            <w:r>
              <w:t xml:space="preserve">6</w:t>
            </w:r>
          </w:p>
        </w:tc>
        <w:tc>
          <w:tcPr/>
          <w:p>
            <w:pPr>
              <w:pStyle w:val="Compact"/>
            </w:pPr>
            <w:r>
              <w:t xml:space="preserve">13–16</w:t>
            </w:r>
          </w:p>
        </w:tc>
        <w:tc>
          <w:tcPr/>
          <w:p>
            <w:pPr>
              <w:pStyle w:val="Compact"/>
            </w:pPr>
            <w:r>
              <w:t xml:space="preserve">The Verdict: Inescapable Judgment and the Collapse of Every Confidence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judgment falls hardest on those with the greatest privilege.</w:t>
      </w:r>
    </w:p>
    <w:p>
      <w:pPr>
        <w:pStyle w:val="BodyText"/>
      </w:pPr>
      <w:r>
        <w:rPr>
          <w:b/>
          <w:bCs/>
        </w:rPr>
        <w:t xml:space="preserve">Primary Claim:</w:t>
      </w:r>
      <w:r>
        <w:t xml:space="preserve"> </w:t>
      </w:r>
      <w:r>
        <w:t xml:space="preserve">God is confronting Israel with the inexcusable nature of its covenant betrayal — demonstrating that greater redemptive privilege produces greater accountability, and that no strength, strategy, or status will provide escape when divine judgment arrives.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covenant privilege actually means.</w:t>
      </w:r>
      <w:r>
        <w:t xml:space="preserve"> </w:t>
      </w:r>
      <w:r>
        <w:t xml:space="preserve">Israel heard its election and redemptive history as grounds for confidence — as insulation from judgment. Amos 2 dismantles this completely: the Exodus is not a shield, it is a summons. Every gift of God rehearsed in verses 9–11 functions in the oracle as an aggravation, not a comfort. The reader who has received the most gospel light — who has grown up in the church, who knows the doctrines, who has been given Scripture, preaching, and sacrament — carries the heaviest obligation. Privilege is not protection; it is proportional responsibility. Stop treating knowledge of grace as exemption from accountability.</w:t>
      </w:r>
    </w:p>
    <w:p>
      <w:pPr>
        <w:pStyle w:val="BodyText"/>
      </w:pPr>
      <w:r>
        <w:rPr>
          <w:b/>
          <w:bCs/>
        </w:rPr>
        <w:t xml:space="preserve">2. [Affections/Worship] Grieve the specific ways you have silenced the prophetic voice in your own life.</w:t>
      </w:r>
      <w:r>
        <w:t xml:space="preserve"> </w:t>
      </w:r>
      <w:r>
        <w:t xml:space="preserve">Israel’s concrete act of covenant betrayal was telling the prophets not to prophesy and making the Nazirites drink wine — corrupting the consecrated and muffling the word. This is not an ancient curiosity. Every person who avoids passages of Scripture that confront them, who skips sermons that trouble them, who walks away from accountability relationships because they produce discomfort, is doing in their own life what Israel did institutionally. The right response to this passage is not analysis but grief — grief over the specific ways you have arranged your life to minimize what God’s word requires of you.</w:t>
      </w:r>
    </w:p>
    <w:p>
      <w:pPr>
        <w:pStyle w:val="BodyText"/>
      </w:pPr>
      <w:r>
        <w:rPr>
          <w:b/>
          <w:bCs/>
        </w:rPr>
        <w:t xml:space="preserve">3. [Will/Behavior] Identify and stop the specific economic or social practice by which you treat the vulnerable as expendable.</w:t>
      </w:r>
      <w:r>
        <w:t xml:space="preserve"> </w:t>
      </w:r>
      <w:r>
        <w:t xml:space="preserve">The indictment in verses 6–7 is precise and concrete: selling the righteous for silver, the needy for sandals, trampling the poor into the dust. The text does not permit spiritualizing this into vague structural concern. The application is directed at the person who exploits an employee, who manipulates a business relationship, who takes advantage of someone’s desperation, who leverages power over someone with none. Name the specific practice. Stop it. The LORD is watching, and the fact that it is economically profitable or socially normalized does not reduce the charge.</w:t>
      </w:r>
    </w:p>
    <w:p>
      <w:pPr>
        <w:pStyle w:val="BodyText"/>
      </w:pPr>
      <w:r>
        <w:rPr>
          <w:b/>
          <w:bCs/>
        </w:rPr>
        <w:t xml:space="preserve">4. [Mind/Belief] Abandon every false confidence in strength, strategy, or status as a hedge against divine judgment.</w:t>
      </w:r>
      <w:r>
        <w:t xml:space="preserve"> </w:t>
      </w:r>
      <w:r>
        <w:t xml:space="preserve">The closing litany of verses 14–16 is relentless for a reason: it systematically eliminates every category of human capability — speed, strength, archery skill, horsemanship, courage. No combination of competence and resource survives. The text is not making a general observation about human frailty; it is targeting the specific idols of a militarily confident and economically prosperous Israel. The contemporary equivalents are financial security, professional standing, institutional connection, and political influence — everything we trust to ensure that outcomes remain in our control. These things will not stand on the day of reckoning. The only secure ground is covenant standing with the God who judges.</w:t>
      </w:r>
    </w:p>
    <w:p>
      <w:pPr>
        <w:pStyle w:val="BodyText"/>
      </w:pPr>
      <w:r>
        <w:rPr>
          <w:b/>
          <w:bCs/>
        </w:rPr>
        <w:t xml:space="preserve">5. [Affections/Worship] Let the universality of the LORD’s moral governance produce awe rather than resentment.</w:t>
      </w:r>
      <w:r>
        <w:t xml:space="preserve"> </w:t>
      </w:r>
      <w:r>
        <w:t xml:space="preserve">The oracle sequence opening Amos 1–2 makes an astonishing claim: the LORD holds Aram, Philistia, Tyre, Edom, Ammon, and Moab accountable for their war crimes, treaty violations, and atrocities — nations that had no covenant with Him at all. This means divine justice is not a tribal affair; it governs all of human life everywhere. The appropriate response is not nationalist satisfaction (</w:t>
      </w:r>
      <w:r>
        <w:t xml:space="preserve">“God will get our enemies”</w:t>
      </w:r>
      <w:r>
        <w:t xml:space="preserve">) but awe — the God of Israel is the God of all history, to whom all nations answer. This should produce in the believer not smugness but reverence, and a missionary urgency: all peoples stand before this God, and all peoples need the gospel that satisfies His justice.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2 teaches that the LORD is the universal moral governor of all nations, not merely the tribal deity of Israel — and that covenantal relationship with Him does not diminish but intensifies the standard of accountability. The passage demonstrates that God’s judgment is proportionate to revelation received: Moab is judged for violations of basic human dignity; Judah for rejection of revealed law; Israel for betrayal of a redemptive relationship sustained by decades of miraculous divine faithfulness. This graduated accountability reveals a God who is simultaneously just to all and demanding of those He has most deeply loved. The rehearsal of redemptive history in verses 9–11 establishes that divine generosity always precedes divine judgment — God’s case against Israel is not that He failed to provide but that Israel rejected what He lavishly gave.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2 is a foundational passage for the Reformed understanding of covenant accountability and the non-transferability of covenant privilege. The text grounds the principle that election and redemptive history are not grounds of presumption but of obligation — a principle Paul draws on directly in Romans 2 when he applies the same rhetorical trap to Jewish hearers who condemned Gentile sin while practicing the same things. Reformed theology’s insistence that justification is by grace alone and cannot be presumed upon is displayed in Amos 2’s prosecutorial structure: the LORD holds His own covenant people to a higher, not lower, standard. This passage also anchors the Reformed understanding of common grace: God’s moral governance over Moab and the surrounding nations reveals that all humanity is accountable to the Creator’s moral order, a foundation for natural law and the universal scope of the gospel’s demand. The passage ultimately points forward to Christ, who bore the full weight of covenant curse that Israel deserved — the</w:t>
      </w:r>
      <w:r>
        <w:t xml:space="preserve"> </w:t>
      </w:r>
      <w:r>
        <w:t xml:space="preserve">“pressing down”</w:t>
      </w:r>
      <w:r>
        <w:t xml:space="preserve"> </w:t>
      </w:r>
      <w:r>
        <w:t xml:space="preserve">of verse 13 is absorbed by the One who was crushed for our iniquities, so that covenant privilege might finally produce what it always demanded.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more you have been given — the more Scripture you have heard, the more grace you have received, the more redemptive history you have been shown — the more inexcusable your disobedience becomes. Israel thought its past with God was a credential; Amos reveals it was an indictment waiting to be filed. Every false confidence — in strength, status, strategy, or spiritual heritage — will collapse under the weight of divine judgment. The only honest response to Amos 2 is to stop defending yourself and start reckoning honestly with what your privilege has cost you in accountability.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surrounding nations as the sermon’s center.</w:t>
      </w:r>
      <w:r>
        <w:t xml:space="preserve"> </w:t>
      </w:r>
      <w:r>
        <w:t xml:space="preserve">The oracles against Moab and Judah in Amos 2:1–5 are essential structural setup, but they are not the homiletical destination. The gravitational center is the Israel oracle beginning in verse 6. A sermon that spends its energy on Moab’s war crimes or Judah’s idolatry and then treats Israel’s indictment as a footnote has inverted Amos’s argument. The rhetorical trap only works if it closes.</w:t>
      </w:r>
    </w:p>
    <w:p>
      <w:pPr>
        <w:numPr>
          <w:ilvl w:val="0"/>
          <w:numId w:val="1002"/>
        </w:numPr>
      </w:pPr>
      <w:r>
        <w:rPr>
          <w:b/>
          <w:bCs/>
        </w:rPr>
        <w:t xml:space="preserve">Reducing the social sins to a social ethics platform.</w:t>
      </w:r>
      <w:r>
        <w:t xml:space="preserve"> </w:t>
      </w:r>
      <w:r>
        <w:t xml:space="preserve">The economic exploitation and treatment of the poor in verses 6–7 are real, concrete, and not to be spiritualized away — but they are located within a covenantal and theological framework. Preaching this passage as primarily a social justice text misses that the driving charge is profanation of the LORD’s name (v. 7b) and corruption of covenant worship (v. 8). The horizontal sins are symptoms of the vertical rupture. Social application must flow from theological diagnosis, not substitute for it.</w:t>
      </w:r>
    </w:p>
    <w:p>
      <w:pPr>
        <w:numPr>
          <w:ilvl w:val="0"/>
          <w:numId w:val="1002"/>
        </w:numPr>
      </w:pPr>
      <w:r>
        <w:rPr>
          <w:b/>
          <w:bCs/>
        </w:rPr>
        <w:t xml:space="preserve">Reading the divine rehearsal (vv. 9–11) as a comfort passage.</w:t>
      </w:r>
      <w:r>
        <w:t xml:space="preserve"> </w:t>
      </w:r>
      <w:r>
        <w:t xml:space="preserve">This is perhaps the most common mishandling. Verses 9–11 contain beautiful material about the Exodus, the wilderness, and God’s faithfulness — and it is tempting to pivot to comfort. But within the oracle, this paragraph functions as prosecutorial evidence, not pastoral reassurance.</w:t>
      </w:r>
      <w:r>
        <w:t xml:space="preserve"> </w:t>
      </w:r>
      <w:r>
        <w:t xml:space="preserve">“I did all this for you — and this is what you did with it.”</w:t>
      </w:r>
      <w:r>
        <w:t xml:space="preserve"> </w:t>
      </w:r>
      <w:r>
        <w:t xml:space="preserve">Preaching it as a comfort passage severs the rhetorical logic of the entire oracle and domesticates what is meant to be devastating.</w:t>
      </w:r>
    </w:p>
    <w:p>
      <w:pPr>
        <w:numPr>
          <w:ilvl w:val="0"/>
          <w:numId w:val="1002"/>
        </w:numPr>
      </w:pPr>
      <w:r>
        <w:rPr>
          <w:b/>
          <w:bCs/>
        </w:rPr>
        <w:t xml:space="preserve">Generalizing the judgment litany (vv. 14–16) into abstract human frailty.</w:t>
      </w:r>
      <w:r>
        <w:t xml:space="preserve"> </w:t>
      </w:r>
      <w:r>
        <w:t xml:space="preserve">The sevenfold litany of those who will not stand is not making a generic point about human weakness before God. It is targeting the specific categories of military and political confidence in which Israel’s prosperous northern kingdom was trusting. Application should name the contemporary equivalents — financial portfolios, institutional protection, professional networks, political alignment — rather than leaving it at the level of</w:t>
      </w:r>
      <w:r>
        <w:t xml:space="preserve"> </w:t>
      </w:r>
      <w:r>
        <w:t xml:space="preserve">“human strength is nothing before God.”</w:t>
      </w:r>
    </w:p>
    <w:p>
      <w:pPr>
        <w:numPr>
          <w:ilvl w:val="0"/>
          <w:numId w:val="1002"/>
        </w:numPr>
      </w:pPr>
      <w:r>
        <w:rPr>
          <w:b/>
          <w:bCs/>
        </w:rPr>
        <w:t xml:space="preserve">Missing the rhetorical trap and preaching the passage as already-targeting-the-hearer.</w:t>
      </w:r>
      <w:r>
        <w:t xml:space="preserve"> </w:t>
      </w:r>
      <w:r>
        <w:t xml:space="preserve">Amos 2’s power depends on the hearer having agreed with the condemnations of Aram, Philistia, Tyre, Edom, Ammon, and Moab before the oracle turns on Israel. In preaching, this trap can be partially reconstructed by walking through the preceding oracles’ logic before arriving at Israel — letting the congregation nod along before the text confronts them. Preaching that begins with</w:t>
      </w:r>
      <w:r>
        <w:t xml:space="preserve"> </w:t>
      </w:r>
      <w:r>
        <w:t xml:space="preserve">“today we look at Amos 2 which condemns Israel for…”</w:t>
      </w:r>
      <w:r>
        <w:t xml:space="preserve"> </w:t>
      </w:r>
      <w:r>
        <w:t xml:space="preserve">has evacuated the rhetorical genius from the text before it has a chance to work.</w:t>
      </w:r>
    </w:p>
    <w:p>
      <w:pPr>
        <w:numPr>
          <w:ilvl w:val="0"/>
          <w:numId w:val="1002"/>
        </w:numPr>
      </w:pPr>
      <w:r>
        <w:rPr>
          <w:b/>
          <w:bCs/>
        </w:rPr>
        <w:t xml:space="preserve">Failing to point toward the greater covenant in Christ.</w:t>
      </w:r>
      <w:r>
        <w:t xml:space="preserve"> </w:t>
      </w:r>
      <w:r>
        <w:t xml:space="preserve">The covenant curse language of verses 13–16 and the prosecutorial rehearsal of divine faithfulness in verses 9–11 are not the final word of Scripture. Amos 2 diagnoses the human condition that the gospel addresses — the inexcusable nature of covenant betrayal despite every gift of grace. Preaching must not leave hearers only under the indictment without pointing to the One who bore the full weight of it, and who is the fulfillment of all the redemptive history Israel squandered. The sermon must end somewhere other than the courtroom.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2026-07-14T21:06:44Z</dcterms:created>
  <dcterms:modified xsi:type="dcterms:W3CDTF">2026-07-14T21:06:44Z</dcterms:modified>
</cp:coreProperties>
</file>

<file path=docProps/custom.xml><?xml version="1.0" encoding="utf-8"?>
<Properties xmlns="http://schemas.openxmlformats.org/officeDocument/2006/custom-properties" xmlns:vt="http://schemas.openxmlformats.org/officeDocument/2006/docPropsVTypes"/>
</file>